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r w:rsidR="00F975B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Blanka</w:t>
      </w:r>
      <w:r w:rsidR="00386C9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D XL</w:t>
      </w:r>
      <w:r w:rsidR="0066509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3D6A9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625x625 mm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r w:rsidR="00F975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386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 XL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r w:rsidR="00F975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86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DB4C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F975B1">
        <w:rPr>
          <w:rFonts w:ascii="Arial" w:eastAsia="Times New Roman" w:hAnsi="Arial" w:cs="Arial"/>
          <w:sz w:val="20"/>
          <w:szCs w:val="20"/>
          <w:lang w:eastAsia="de-DE"/>
        </w:rPr>
        <w:t>Blanka</w:t>
      </w:r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>20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386C99">
        <w:rPr>
          <w:rFonts w:ascii="Arial" w:eastAsia="Times New Roman" w:hAnsi="Arial" w:cs="Arial"/>
          <w:sz w:val="20"/>
          <w:szCs w:val="20"/>
          <w:lang w:eastAsia="de-DE"/>
        </w:rPr>
        <w:tab/>
        <w:t>625 x 625 mm</w:t>
      </w:r>
    </w:p>
    <w:p w:rsidR="004602CA" w:rsidRPr="00D47EBA" w:rsidRDefault="00386C99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D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nach DIN EN 13964 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>–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 xml:space="preserve"> verdeckte Mon</w:t>
      </w:r>
      <w:r>
        <w:rPr>
          <w:rFonts w:ascii="Arial" w:eastAsia="Times New Roman" w:hAnsi="Arial" w:cs="Arial"/>
          <w:sz w:val="20"/>
          <w:szCs w:val="20"/>
          <w:lang w:eastAsia="de-DE"/>
        </w:rPr>
        <w:t>tage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97668" w:rsidRPr="00672682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 Rockfon Blanka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97668" w:rsidRPr="001F672C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 Blanka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über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sehr matte, glatte, superweiße Oberfläche mit hoher optischer Integrität bei nahezu 100%iger akustischer Transparenz.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Ihre hohe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Lichtreflexion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Lichtdiffusion kann zu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Energieeinsparungen und hellen und komfortablen Innenräumen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beitrag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glatte, richtungsungebundene Oberfläche reduziert die Montagezeit,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die antistatische Oberfläche hält Baustellenstaub stand.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197668" w:rsidRPr="009C1AF2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verfügen über die CE-Kennzeichnung und entsprechen den Anforderungen der Bauproduktenverordnung (Verordnung (EU) Nr. 305/2011 des europäischen Parlaments und des Rates).</w:t>
      </w:r>
    </w:p>
    <w:p w:rsidR="00197668" w:rsidRPr="009C1AF2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97668" w:rsidRDefault="00197668" w:rsidP="0019766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197668" w:rsidRDefault="00197668" w:rsidP="0019766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Matte,</w:t>
      </w:r>
      <w:r w:rsidRPr="001F672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superweiße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Farbbeschichtung</w:t>
      </w:r>
    </w:p>
    <w:p w:rsidR="00197668" w:rsidRDefault="00197668" w:rsidP="0019766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Weißegrad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L-Wert = 94,5</w:t>
      </w: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87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197668" w:rsidRDefault="00197668" w:rsidP="0019766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Lichtdiffusion: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&gt; 99 %</w:t>
      </w: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Antistatische Oberfläche zu reinigen: </w:t>
      </w:r>
    </w:p>
    <w:p w:rsidR="00197668" w:rsidRDefault="00197668" w:rsidP="00197668">
      <w:pPr>
        <w:spacing w:before="30" w:after="0" w:line="240" w:lineRule="auto"/>
        <w:ind w:left="851" w:firstLine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mit weicher Bürste oder Staubsauger</w:t>
      </w:r>
    </w:p>
    <w:p w:rsidR="00197668" w:rsidRPr="00F9392B" w:rsidRDefault="00197668" w:rsidP="00197668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</w:t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feuchten Tuch oder Schwamm</w:t>
      </w:r>
    </w:p>
    <w:p w:rsidR="00197668" w:rsidRDefault="00197668" w:rsidP="0019766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Nassabriebbeständigkeit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939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Klasse 1</w:t>
      </w:r>
    </w:p>
    <w:p w:rsidR="00197668" w:rsidRDefault="00197668" w:rsidP="00197668">
      <w:pPr>
        <w:tabs>
          <w:tab w:val="left" w:pos="3544"/>
        </w:tabs>
        <w:spacing w:before="3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97668" w:rsidRDefault="00197668" w:rsidP="00197668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abriebminderndes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197668" w:rsidRDefault="00197668" w:rsidP="0019766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97668" w:rsidRDefault="00197668" w:rsidP="0019766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97668" w:rsidRDefault="00197668" w:rsidP="0019766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197668" w:rsidRPr="00542E69" w:rsidRDefault="00197668" w:rsidP="00197668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197668" w:rsidRPr="00542E69" w:rsidRDefault="00197668" w:rsidP="00197668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197668" w:rsidRDefault="00197668" w:rsidP="0019766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27275A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197668" w:rsidRDefault="00197668" w:rsidP="0019766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Gemessen bei einer totalen Konstruktionshöhe von 200 mm</w:t>
      </w:r>
    </w:p>
    <w:p w:rsidR="00197668" w:rsidRPr="00DD3C2E" w:rsidRDefault="00197668" w:rsidP="00197668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97668" w:rsidRPr="00D47EBA" w:rsidRDefault="00197668" w:rsidP="00197668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197668" w:rsidRPr="00D47EBA" w:rsidRDefault="00197668" w:rsidP="0019766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197668" w:rsidRPr="00D47EBA" w:rsidRDefault="00197668" w:rsidP="0019766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0,85</w:t>
      </w:r>
    </w:p>
    <w:p w:rsidR="00197668" w:rsidRPr="00D47EBA" w:rsidRDefault="00197668" w:rsidP="0019766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197668" w:rsidRPr="00D47EBA" w:rsidRDefault="00197668" w:rsidP="0019766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197668" w:rsidRPr="00D47EBA" w:rsidRDefault="00197668" w:rsidP="0019766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197668" w:rsidRPr="00D47EBA" w:rsidRDefault="00197668" w:rsidP="0019766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197668" w:rsidRPr="00D47EBA" w:rsidRDefault="00197668" w:rsidP="00197668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197668" w:rsidRPr="00D47EBA" w:rsidRDefault="00197668" w:rsidP="00197668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197668" w:rsidRPr="00D47EBA" w:rsidRDefault="00197668" w:rsidP="00197668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197668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97668" w:rsidRPr="009C1AF2" w:rsidRDefault="00197668" w:rsidP="0019766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777C43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3D6A9C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D6A9C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, verdeckte Montage</w:t>
      </w:r>
    </w:p>
    <w:p w:rsidR="003D6A9C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Pr="003C3064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D6A9C" w:rsidRPr="0027275A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2727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27275A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3D6A9C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3D6A9C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3D6A9C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3D6A9C" w:rsidRDefault="003D6A9C" w:rsidP="003D6A9C">
      <w:pPr>
        <w:tabs>
          <w:tab w:val="left" w:pos="3402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3D6A9C" w:rsidRPr="00672682" w:rsidRDefault="003D6A9C" w:rsidP="003D6A9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D6A9C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E94B93" w:rsidRDefault="003D6A9C" w:rsidP="003D6A9C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3D6A9C" w:rsidRPr="00D47EBA" w:rsidRDefault="003D6A9C" w:rsidP="003D6A9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-2800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1875 mm</w:t>
      </w:r>
    </w:p>
    <w:p w:rsidR="003D6A9C" w:rsidRPr="00D47EBA" w:rsidRDefault="003D6A9C" w:rsidP="003D6A9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2896 31 001 / 625 mm</w:t>
      </w:r>
    </w:p>
    <w:p w:rsidR="003D6A9C" w:rsidRPr="00672682" w:rsidRDefault="003D6A9C" w:rsidP="003D6A9C">
      <w:pPr>
        <w:tabs>
          <w:tab w:val="left" w:pos="3402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………………./ 1000 mm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Chicago Metallic T24 Click 2890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672682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die ebenso die Demontage der Schiene ermöglicht.</w:t>
      </w: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5E1213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3D6A9C" w:rsidRPr="005E1213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D6A9C" w:rsidRDefault="003D6A9C" w:rsidP="003D6A9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3D6A9C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D6A9C" w:rsidRDefault="003D6A9C" w:rsidP="003D6A9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D6A9C" w:rsidRDefault="003D6A9C" w:rsidP="003D6A9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3D6A9C" w:rsidTr="00204DD2">
        <w:tc>
          <w:tcPr>
            <w:tcW w:w="2234" w:type="dxa"/>
          </w:tcPr>
          <w:p w:rsidR="003D6A9C" w:rsidRDefault="003D6A9C" w:rsidP="00204DD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3D6A9C" w:rsidRDefault="003D6A9C" w:rsidP="00204DD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3D6A9C" w:rsidTr="00204DD2">
        <w:tc>
          <w:tcPr>
            <w:tcW w:w="2234" w:type="dxa"/>
          </w:tcPr>
          <w:p w:rsidR="003D6A9C" w:rsidRDefault="003D6A9C" w:rsidP="00204DD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3D6A9C" w:rsidRDefault="003D6A9C" w:rsidP="00204DD2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3,1</w:t>
            </w:r>
          </w:p>
        </w:tc>
      </w:tr>
    </w:tbl>
    <w:p w:rsidR="003D6A9C" w:rsidRPr="00B061D8" w:rsidRDefault="003D6A9C" w:rsidP="003D6A9C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C1AF2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3D6A9C" w:rsidRPr="00B061D8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3D6A9C" w:rsidRDefault="003D6A9C" w:rsidP="003D6A9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Pr="00777C43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3D6A9C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3D6A9C" w:rsidRPr="00956741" w:rsidRDefault="003D6A9C" w:rsidP="003D6A9C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1461</w:t>
      </w:r>
    </w:p>
    <w:p w:rsidR="003D6A9C" w:rsidRPr="00956741" w:rsidRDefault="003D6A9C" w:rsidP="003D6A9C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12 x 8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3D6A9C" w:rsidRPr="00956741" w:rsidRDefault="003D6A9C" w:rsidP="003D6A9C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3D6A9C" w:rsidRPr="00956741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1461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</w:t>
      </w:r>
      <w:bookmarkStart w:id="0" w:name="_GoBack"/>
      <w:bookmarkEnd w:id="0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mit einer beidseitigen Beschichtung aus Zink mit einer Schichtdicke von 100 g/m². </w:t>
      </w:r>
    </w:p>
    <w:p w:rsidR="003D6A9C" w:rsidRPr="00956741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3D6A9C" w:rsidRPr="00956741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3D6A9C" w:rsidRPr="00956741" w:rsidRDefault="003D6A9C" w:rsidP="003D6A9C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3D6A9C" w:rsidRPr="00956741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3D6A9C" w:rsidRPr="00956741" w:rsidRDefault="003D6A9C" w:rsidP="003D6A9C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Pr="00956741" w:rsidRDefault="003D6A9C" w:rsidP="003D6A9C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den aufgehenden Bauteilen aus .............................wird umlaufend der Wandwinkel mit einem maximalen Befestigungsabstand von 300 mm befestigt. Alle ein- und ausspringenden Ecken sind sauber auf Gehrung zu schneiden.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des Typs -2800 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vorhandenen</w:t>
      </w:r>
      <w:r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......................... abgehängt. Der Achsabstand der Tragschienen beträgt 1.875 mm,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1.000 mm. 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3D6A9C" w:rsidRDefault="003D6A9C" w:rsidP="003D6A9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Danach werden zwischen den Tragschienen die langen Querschienen des 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 xml:space="preserve">Typs -2896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einem Achsabstand von 625 mm eingeklickt.</w:t>
      </w:r>
    </w:p>
    <w:p w:rsidR="003D6A9C" w:rsidRDefault="003D6A9C" w:rsidP="003D6A9C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Rockfon Akustikdeckenplatten werden anschließend in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Feldmitte in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Unterkonst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ruktion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eingelegt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und danach zu den Seiten geschoben, bis die Nut der Platte die Tragschiene einfasst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Anschließend wird die dritte und letzte Platte pro Deckenfeld montiert. Diese Platte bleibt jederzeit demontierbar. Bei der Montage der Platten sind stets saubere Handschuhe zu tragen.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Nach</w:t>
      </w:r>
      <w:r w:rsidR="00DC7D7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Montage der Rockfon </w:t>
      </w:r>
      <w:r w:rsidR="00F975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Blanka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 Deckenplatten ergibt sich zwischen den einzelnen Platten eine dezente Fuge, die Unterkonstruktion ist vollständig verdeckt. 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D6A9C" w:rsidRPr="00672682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3D6A9C" w:rsidRDefault="003D6A9C" w:rsidP="003D6A9C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3D6A9C" w:rsidRDefault="003D6A9C" w:rsidP="003D6A9C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F147A0" w:rsidRDefault="00F147A0" w:rsidP="003D6A9C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96822"/>
    <w:rsid w:val="000A625B"/>
    <w:rsid w:val="000F0C99"/>
    <w:rsid w:val="00106036"/>
    <w:rsid w:val="001219F6"/>
    <w:rsid w:val="001244BC"/>
    <w:rsid w:val="00197668"/>
    <w:rsid w:val="001D5290"/>
    <w:rsid w:val="00217300"/>
    <w:rsid w:val="002229AC"/>
    <w:rsid w:val="002463F0"/>
    <w:rsid w:val="00261434"/>
    <w:rsid w:val="00263CDE"/>
    <w:rsid w:val="0027275A"/>
    <w:rsid w:val="0029556D"/>
    <w:rsid w:val="002B4623"/>
    <w:rsid w:val="002E1E1D"/>
    <w:rsid w:val="003143B4"/>
    <w:rsid w:val="00326C5C"/>
    <w:rsid w:val="00351E1E"/>
    <w:rsid w:val="00386C99"/>
    <w:rsid w:val="00392130"/>
    <w:rsid w:val="003C2ACF"/>
    <w:rsid w:val="003C3064"/>
    <w:rsid w:val="003D6A9C"/>
    <w:rsid w:val="00412054"/>
    <w:rsid w:val="00412C5E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03D36"/>
    <w:rsid w:val="00636021"/>
    <w:rsid w:val="006456C7"/>
    <w:rsid w:val="0066509B"/>
    <w:rsid w:val="00672682"/>
    <w:rsid w:val="006B306D"/>
    <w:rsid w:val="006C64F3"/>
    <w:rsid w:val="006E0406"/>
    <w:rsid w:val="006F70A8"/>
    <w:rsid w:val="00716B91"/>
    <w:rsid w:val="00725394"/>
    <w:rsid w:val="0073529C"/>
    <w:rsid w:val="00777C25"/>
    <w:rsid w:val="00777C43"/>
    <w:rsid w:val="0078092A"/>
    <w:rsid w:val="00780D95"/>
    <w:rsid w:val="007E2261"/>
    <w:rsid w:val="008443B1"/>
    <w:rsid w:val="00855F2B"/>
    <w:rsid w:val="00906173"/>
    <w:rsid w:val="00956741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E0370"/>
    <w:rsid w:val="00BF185E"/>
    <w:rsid w:val="00BF4FA1"/>
    <w:rsid w:val="00C73262"/>
    <w:rsid w:val="00C96CA3"/>
    <w:rsid w:val="00CC4CBC"/>
    <w:rsid w:val="00D47EBA"/>
    <w:rsid w:val="00DB3640"/>
    <w:rsid w:val="00DB4C82"/>
    <w:rsid w:val="00DC7D7C"/>
    <w:rsid w:val="00DD3C2E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  <w:rsid w:val="00F9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13</cp:revision>
  <cp:lastPrinted>2013-11-25T12:13:00Z</cp:lastPrinted>
  <dcterms:created xsi:type="dcterms:W3CDTF">2015-07-16T13:24:00Z</dcterms:created>
  <dcterms:modified xsi:type="dcterms:W3CDTF">2015-09-10T06:29:00Z</dcterms:modified>
</cp:coreProperties>
</file>